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D409" w14:textId="77777777" w:rsidR="00092AD3" w:rsidRDefault="00092AD3" w:rsidP="00092AD3">
      <w:pPr>
        <w:pStyle w:val="NormalWeb"/>
        <w:spacing w:line="270" w:lineRule="atLeast"/>
        <w:rPr>
          <w:rFonts w:ascii="Times New Roman" w:hAnsi="Times New Roman" w:cs="Times New Roman"/>
        </w:rPr>
      </w:pPr>
      <w:r w:rsidRPr="00380DA1">
        <w:rPr>
          <w:rFonts w:ascii="Times New Roman" w:hAnsi="Times New Roman" w:cs="Times New Roman"/>
          <w:i/>
          <w:iCs/>
        </w:rPr>
        <w:t>Tax and Business Alert</w:t>
      </w:r>
      <w:r w:rsidRPr="00380DA1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August 2025</w:t>
      </w:r>
    </w:p>
    <w:p w14:paraId="173CFB2C" w14:textId="77777777" w:rsidR="00092AD3" w:rsidRDefault="00092AD3" w:rsidP="003C4770">
      <w:pPr>
        <w:spacing w:line="240" w:lineRule="auto"/>
        <w:rPr>
          <w:rFonts w:ascii="Times New Roman" w:hAnsi="Times New Roman" w:cs="Times New Roman"/>
          <w:b/>
        </w:rPr>
      </w:pPr>
    </w:p>
    <w:p w14:paraId="7F49BAB5" w14:textId="1C08C367" w:rsidR="00F82266" w:rsidRPr="003C4770" w:rsidRDefault="00F82266" w:rsidP="003C4770">
      <w:pPr>
        <w:spacing w:line="240" w:lineRule="auto"/>
        <w:rPr>
          <w:rFonts w:ascii="Times New Roman" w:hAnsi="Times New Roman" w:cs="Times New Roman"/>
        </w:rPr>
      </w:pPr>
      <w:r w:rsidRPr="004F7F56">
        <w:rPr>
          <w:rFonts w:ascii="Times New Roman" w:hAnsi="Times New Roman" w:cs="Times New Roman"/>
          <w:b/>
        </w:rPr>
        <w:t>Abstract:</w:t>
      </w:r>
      <w:r w:rsidRPr="003C4770">
        <w:rPr>
          <w:rFonts w:ascii="Times New Roman" w:hAnsi="Times New Roman" w:cs="Times New Roman"/>
          <w:bCs/>
        </w:rPr>
        <w:t xml:space="preserve"> </w:t>
      </w:r>
      <w:r w:rsidRPr="003C4770">
        <w:rPr>
          <w:rFonts w:ascii="Times New Roman" w:hAnsi="Times New Roman" w:cs="Times New Roman"/>
        </w:rPr>
        <w:t>On July 4, 2025,  President Trump signed into law the far-reaching legislation known as the One, Big, Beautiful Bill Act (OBBBA).</w:t>
      </w:r>
      <w:r w:rsidR="003C4770">
        <w:rPr>
          <w:rFonts w:ascii="Times New Roman" w:hAnsi="Times New Roman" w:cs="Times New Roman"/>
        </w:rPr>
        <w:t xml:space="preserve"> </w:t>
      </w:r>
      <w:r w:rsidR="00887792" w:rsidRPr="003C4770">
        <w:rPr>
          <w:rFonts w:ascii="Times New Roman" w:hAnsi="Times New Roman" w:cs="Times New Roman"/>
        </w:rPr>
        <w:t>Th</w:t>
      </w:r>
      <w:r w:rsidR="00313F6E">
        <w:rPr>
          <w:rFonts w:ascii="Times New Roman" w:hAnsi="Times New Roman" w:cs="Times New Roman"/>
        </w:rPr>
        <w:t>e</w:t>
      </w:r>
      <w:r w:rsidR="00887792" w:rsidRPr="003C4770">
        <w:rPr>
          <w:rFonts w:ascii="Times New Roman" w:hAnsi="Times New Roman" w:cs="Times New Roman"/>
        </w:rPr>
        <w:t xml:space="preserve"> </w:t>
      </w:r>
      <w:r w:rsidR="00313F6E">
        <w:rPr>
          <w:rFonts w:ascii="Times New Roman" w:hAnsi="Times New Roman" w:cs="Times New Roman"/>
        </w:rPr>
        <w:t>law</w:t>
      </w:r>
      <w:r w:rsidR="00887792" w:rsidRPr="003C4770">
        <w:rPr>
          <w:rFonts w:ascii="Times New Roman" w:hAnsi="Times New Roman" w:cs="Times New Roman"/>
        </w:rPr>
        <w:t xml:space="preserve"> </w:t>
      </w:r>
      <w:r w:rsidR="00313F6E">
        <w:rPr>
          <w:rFonts w:ascii="Times New Roman" w:hAnsi="Times New Roman" w:cs="Times New Roman"/>
        </w:rPr>
        <w:t>extends and enhances</w:t>
      </w:r>
      <w:r w:rsidR="00887792" w:rsidRPr="003C4770">
        <w:rPr>
          <w:rFonts w:ascii="Times New Roman" w:hAnsi="Times New Roman" w:cs="Times New Roman"/>
        </w:rPr>
        <w:t xml:space="preserve"> many tax </w:t>
      </w:r>
      <w:r w:rsidR="00313F6E">
        <w:rPr>
          <w:rFonts w:ascii="Times New Roman" w:hAnsi="Times New Roman" w:cs="Times New Roman"/>
        </w:rPr>
        <w:t>breaks</w:t>
      </w:r>
      <w:r w:rsidR="00887792" w:rsidRPr="003C4770">
        <w:rPr>
          <w:rFonts w:ascii="Times New Roman" w:hAnsi="Times New Roman" w:cs="Times New Roman"/>
        </w:rPr>
        <w:t xml:space="preserve"> from the</w:t>
      </w:r>
      <w:r w:rsidRPr="003C4770">
        <w:rPr>
          <w:rFonts w:ascii="Times New Roman" w:hAnsi="Times New Roman" w:cs="Times New Roman"/>
        </w:rPr>
        <w:t xml:space="preserve"> earlier Tax Cuts and Jobs Act (TCJA)</w:t>
      </w:r>
      <w:r w:rsidR="00F142E3" w:rsidRPr="003C4770">
        <w:rPr>
          <w:rFonts w:ascii="Times New Roman" w:hAnsi="Times New Roman" w:cs="Times New Roman"/>
        </w:rPr>
        <w:t xml:space="preserve">, includes several of President Trump’s campaign promises, and </w:t>
      </w:r>
      <w:r w:rsidR="00693825">
        <w:rPr>
          <w:rFonts w:ascii="Times New Roman" w:hAnsi="Times New Roman" w:cs="Times New Roman"/>
        </w:rPr>
        <w:t>eliminates</w:t>
      </w:r>
      <w:r w:rsidR="003C4770" w:rsidRPr="003C4770">
        <w:rPr>
          <w:rFonts w:ascii="Times New Roman" w:hAnsi="Times New Roman" w:cs="Times New Roman"/>
        </w:rPr>
        <w:t xml:space="preserve"> some clean energy tax breaks.</w:t>
      </w:r>
      <w:r w:rsidR="0096217A">
        <w:rPr>
          <w:rFonts w:ascii="Times New Roman" w:hAnsi="Times New Roman" w:cs="Times New Roman"/>
        </w:rPr>
        <w:t xml:space="preserve"> This article lists many of the highlights of the OBBBA for individuals and businesses. </w:t>
      </w:r>
      <w:r w:rsidR="003C4770" w:rsidRPr="003C4770">
        <w:rPr>
          <w:rFonts w:ascii="Times New Roman" w:hAnsi="Times New Roman" w:cs="Times New Roman"/>
        </w:rPr>
        <w:t xml:space="preserve">  </w:t>
      </w:r>
    </w:p>
    <w:p w14:paraId="059B5513" w14:textId="5CEA0BDF" w:rsidR="00756358" w:rsidRPr="00D01F91" w:rsidRDefault="00C80B2C" w:rsidP="00756358">
      <w:pPr>
        <w:spacing w:line="240" w:lineRule="auto"/>
        <w:rPr>
          <w:rFonts w:ascii="Times New Roman" w:hAnsi="Times New Roman" w:cs="Times New Roman"/>
          <w:b/>
        </w:rPr>
      </w:pPr>
      <w:r w:rsidRPr="00D01F91">
        <w:rPr>
          <w:rFonts w:ascii="Times New Roman" w:hAnsi="Times New Roman" w:cs="Times New Roman"/>
          <w:bCs/>
        </w:rPr>
        <w:t xml:space="preserve"> </w:t>
      </w:r>
    </w:p>
    <w:p w14:paraId="331B6B95" w14:textId="76C9E14E" w:rsidR="00756358" w:rsidRPr="004D03B7" w:rsidRDefault="00756358" w:rsidP="007563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03B7">
        <w:rPr>
          <w:rFonts w:ascii="Times New Roman" w:hAnsi="Times New Roman" w:cs="Times New Roman"/>
          <w:b/>
          <w:sz w:val="28"/>
          <w:szCs w:val="28"/>
        </w:rPr>
        <w:t xml:space="preserve">Key </w:t>
      </w:r>
      <w:r w:rsidR="00A350C7" w:rsidRPr="004D03B7">
        <w:rPr>
          <w:rFonts w:ascii="Times New Roman" w:hAnsi="Times New Roman" w:cs="Times New Roman"/>
          <w:b/>
          <w:sz w:val="28"/>
          <w:szCs w:val="28"/>
        </w:rPr>
        <w:t>t</w:t>
      </w:r>
      <w:r w:rsidRPr="004D03B7">
        <w:rPr>
          <w:rFonts w:ascii="Times New Roman" w:hAnsi="Times New Roman" w:cs="Times New Roman"/>
          <w:b/>
          <w:sz w:val="28"/>
          <w:szCs w:val="28"/>
        </w:rPr>
        <w:t xml:space="preserve">ax </w:t>
      </w:r>
      <w:r w:rsidR="00A350C7" w:rsidRPr="004D03B7">
        <w:rPr>
          <w:rFonts w:ascii="Times New Roman" w:hAnsi="Times New Roman" w:cs="Times New Roman"/>
          <w:b/>
          <w:sz w:val="28"/>
          <w:szCs w:val="28"/>
        </w:rPr>
        <w:t>l</w:t>
      </w:r>
      <w:r w:rsidRPr="004D03B7">
        <w:rPr>
          <w:rFonts w:ascii="Times New Roman" w:hAnsi="Times New Roman" w:cs="Times New Roman"/>
          <w:b/>
          <w:sz w:val="28"/>
          <w:szCs w:val="28"/>
        </w:rPr>
        <w:t xml:space="preserve">aw </w:t>
      </w:r>
      <w:r w:rsidR="00A350C7" w:rsidRPr="004D03B7">
        <w:rPr>
          <w:rFonts w:ascii="Times New Roman" w:hAnsi="Times New Roman" w:cs="Times New Roman"/>
          <w:b/>
          <w:sz w:val="28"/>
          <w:szCs w:val="28"/>
        </w:rPr>
        <w:t>c</w:t>
      </w:r>
      <w:r w:rsidRPr="004D03B7">
        <w:rPr>
          <w:rFonts w:ascii="Times New Roman" w:hAnsi="Times New Roman" w:cs="Times New Roman"/>
          <w:b/>
          <w:sz w:val="28"/>
          <w:szCs w:val="28"/>
        </w:rPr>
        <w:t xml:space="preserve">hanges for </w:t>
      </w:r>
      <w:r w:rsidR="00A350C7" w:rsidRPr="004D03B7">
        <w:rPr>
          <w:rFonts w:ascii="Times New Roman" w:hAnsi="Times New Roman" w:cs="Times New Roman"/>
          <w:b/>
          <w:sz w:val="28"/>
          <w:szCs w:val="28"/>
        </w:rPr>
        <w:t>i</w:t>
      </w:r>
      <w:r w:rsidRPr="004D03B7">
        <w:rPr>
          <w:rFonts w:ascii="Times New Roman" w:hAnsi="Times New Roman" w:cs="Times New Roman"/>
          <w:b/>
          <w:sz w:val="28"/>
          <w:szCs w:val="28"/>
        </w:rPr>
        <w:t>ndividuals</w:t>
      </w:r>
      <w:r w:rsidR="001255E0" w:rsidRPr="004D03B7">
        <w:rPr>
          <w:rFonts w:ascii="Times New Roman" w:hAnsi="Times New Roman" w:cs="Times New Roman"/>
          <w:b/>
          <w:sz w:val="28"/>
          <w:szCs w:val="28"/>
        </w:rPr>
        <w:t xml:space="preserve"> and </w:t>
      </w:r>
      <w:r w:rsidR="00A350C7" w:rsidRPr="004D03B7">
        <w:rPr>
          <w:rFonts w:ascii="Times New Roman" w:hAnsi="Times New Roman" w:cs="Times New Roman"/>
          <w:b/>
          <w:sz w:val="28"/>
          <w:szCs w:val="28"/>
        </w:rPr>
        <w:t>b</w:t>
      </w:r>
      <w:r w:rsidR="001255E0" w:rsidRPr="004D03B7">
        <w:rPr>
          <w:rFonts w:ascii="Times New Roman" w:hAnsi="Times New Roman" w:cs="Times New Roman"/>
          <w:b/>
          <w:sz w:val="28"/>
          <w:szCs w:val="28"/>
        </w:rPr>
        <w:t>usinesses</w:t>
      </w:r>
      <w:r w:rsidRPr="004D03B7">
        <w:rPr>
          <w:rFonts w:ascii="Times New Roman" w:hAnsi="Times New Roman" w:cs="Times New Roman"/>
          <w:b/>
          <w:sz w:val="28"/>
          <w:szCs w:val="28"/>
        </w:rPr>
        <w:t xml:space="preserve"> under the OBBBA</w:t>
      </w:r>
    </w:p>
    <w:p w14:paraId="2EC2666B" w14:textId="31CB5B70" w:rsidR="006D4782" w:rsidRPr="00D01F91" w:rsidRDefault="006D4782" w:rsidP="006D4782">
      <w:pPr>
        <w:pStyle w:val="NormalWeb"/>
        <w:spacing w:line="300" w:lineRule="atLeast"/>
        <w:rPr>
          <w:rFonts w:ascii="Times New Roman" w:hAnsi="Times New Roman" w:cs="Times New Roman"/>
          <w:color w:val="231F20"/>
        </w:rPr>
      </w:pPr>
      <w:r w:rsidRPr="00D01F91">
        <w:rPr>
          <w:rFonts w:ascii="Times New Roman" w:hAnsi="Times New Roman" w:cs="Times New Roman"/>
          <w:color w:val="231F20"/>
        </w:rPr>
        <w:t xml:space="preserve">On July 4, President Trump signed into law the far-reaching legislation known as the One, Big, Beautiful Bill Act (OBBBA). As </w:t>
      </w:r>
      <w:r w:rsidR="006667E2" w:rsidRPr="00D01F91">
        <w:rPr>
          <w:rFonts w:ascii="Times New Roman" w:hAnsi="Times New Roman" w:cs="Times New Roman"/>
          <w:color w:val="231F20"/>
        </w:rPr>
        <w:t xml:space="preserve">expected, </w:t>
      </w:r>
      <w:r w:rsidR="000C6E50" w:rsidRPr="00D01F91">
        <w:rPr>
          <w:rFonts w:ascii="Times New Roman" w:hAnsi="Times New Roman" w:cs="Times New Roman"/>
          <w:color w:val="231F20"/>
        </w:rPr>
        <w:t xml:space="preserve">it </w:t>
      </w:r>
      <w:r w:rsidR="00693825">
        <w:rPr>
          <w:rFonts w:ascii="Times New Roman" w:hAnsi="Times New Roman" w:cs="Times New Roman"/>
          <w:color w:val="231F20"/>
        </w:rPr>
        <w:t>extends</w:t>
      </w:r>
      <w:r w:rsidR="00703452">
        <w:rPr>
          <w:rFonts w:ascii="Times New Roman" w:hAnsi="Times New Roman" w:cs="Times New Roman"/>
          <w:color w:val="231F20"/>
        </w:rPr>
        <w:t xml:space="preserve"> and enhances</w:t>
      </w:r>
      <w:r w:rsidR="000C6E50" w:rsidRPr="00D01F91">
        <w:rPr>
          <w:rFonts w:ascii="Times New Roman" w:hAnsi="Times New Roman" w:cs="Times New Roman"/>
          <w:color w:val="231F20"/>
        </w:rPr>
        <w:t xml:space="preserve"> many of the tax </w:t>
      </w:r>
      <w:r w:rsidR="00703452">
        <w:rPr>
          <w:rFonts w:ascii="Times New Roman" w:hAnsi="Times New Roman" w:cs="Times New Roman"/>
          <w:color w:val="231F20"/>
        </w:rPr>
        <w:t>breaks</w:t>
      </w:r>
      <w:r w:rsidR="000C6E50" w:rsidRPr="00D01F91">
        <w:rPr>
          <w:rFonts w:ascii="Times New Roman" w:hAnsi="Times New Roman" w:cs="Times New Roman"/>
          <w:color w:val="231F20"/>
        </w:rPr>
        <w:t xml:space="preserve"> from the </w:t>
      </w:r>
      <w:r w:rsidRPr="00D01F91">
        <w:rPr>
          <w:rFonts w:ascii="Times New Roman" w:hAnsi="Times New Roman" w:cs="Times New Roman"/>
          <w:color w:val="231F20"/>
        </w:rPr>
        <w:t>Tax Cuts and Jobs Act (TCJA)</w:t>
      </w:r>
      <w:r w:rsidR="00A64DF3" w:rsidRPr="00D01F91">
        <w:rPr>
          <w:rFonts w:ascii="Times New Roman" w:hAnsi="Times New Roman" w:cs="Times New Roman"/>
          <w:color w:val="231F20"/>
        </w:rPr>
        <w:t>. It also includes several of Trump’s campaign promises — though many are only temporary</w:t>
      </w:r>
      <w:r w:rsidR="00785567">
        <w:rPr>
          <w:rFonts w:ascii="Times New Roman" w:hAnsi="Times New Roman" w:cs="Times New Roman"/>
          <w:color w:val="231F20"/>
        </w:rPr>
        <w:t xml:space="preserve"> </w:t>
      </w:r>
      <w:r w:rsidR="00A64DF3" w:rsidRPr="00D01F91">
        <w:rPr>
          <w:rFonts w:ascii="Times New Roman" w:hAnsi="Times New Roman" w:cs="Times New Roman"/>
          <w:color w:val="231F20"/>
        </w:rPr>
        <w:t xml:space="preserve">— and </w:t>
      </w:r>
      <w:r w:rsidR="00703452">
        <w:rPr>
          <w:rFonts w:ascii="Times New Roman" w:hAnsi="Times New Roman" w:cs="Times New Roman"/>
          <w:color w:val="231F20"/>
        </w:rPr>
        <w:t>eliminates</w:t>
      </w:r>
      <w:r w:rsidR="00A64DF3" w:rsidRPr="00D01F91">
        <w:rPr>
          <w:rFonts w:ascii="Times New Roman" w:hAnsi="Times New Roman" w:cs="Times New Roman"/>
          <w:color w:val="231F20"/>
        </w:rPr>
        <w:t xml:space="preserve"> tax breaks related to clean energy. </w:t>
      </w:r>
      <w:r w:rsidR="00D01F91" w:rsidRPr="00D01F91">
        <w:rPr>
          <w:rFonts w:ascii="Times New Roman" w:hAnsi="Times New Roman" w:cs="Times New Roman"/>
          <w:color w:val="231F20"/>
        </w:rPr>
        <w:t>Here’s</w:t>
      </w:r>
      <w:r w:rsidR="00A81117" w:rsidRPr="00D01F91">
        <w:rPr>
          <w:rFonts w:ascii="Times New Roman" w:hAnsi="Times New Roman" w:cs="Times New Roman"/>
          <w:color w:val="231F20"/>
        </w:rPr>
        <w:t xml:space="preserve"> </w:t>
      </w:r>
      <w:r w:rsidRPr="00D01F91">
        <w:rPr>
          <w:rFonts w:ascii="Times New Roman" w:hAnsi="Times New Roman" w:cs="Times New Roman"/>
          <w:color w:val="231F20"/>
        </w:rPr>
        <w:t xml:space="preserve">a rundown of some of the </w:t>
      </w:r>
      <w:r w:rsidR="00DB4B6F" w:rsidRPr="00D01F91">
        <w:rPr>
          <w:rFonts w:ascii="Times New Roman" w:hAnsi="Times New Roman" w:cs="Times New Roman"/>
          <w:color w:val="231F20"/>
        </w:rPr>
        <w:t xml:space="preserve">main tax </w:t>
      </w:r>
      <w:r w:rsidR="00603580">
        <w:rPr>
          <w:rFonts w:ascii="Times New Roman" w:hAnsi="Times New Roman" w:cs="Times New Roman"/>
          <w:color w:val="231F20"/>
        </w:rPr>
        <w:t xml:space="preserve">law </w:t>
      </w:r>
      <w:r w:rsidR="00DB4B6F" w:rsidRPr="00D01F91">
        <w:rPr>
          <w:rFonts w:ascii="Times New Roman" w:hAnsi="Times New Roman" w:cs="Times New Roman"/>
          <w:color w:val="231F20"/>
        </w:rPr>
        <w:t xml:space="preserve">changes </w:t>
      </w:r>
      <w:r w:rsidR="00785567">
        <w:rPr>
          <w:rFonts w:ascii="Times New Roman" w:hAnsi="Times New Roman" w:cs="Times New Roman"/>
          <w:color w:val="231F20"/>
        </w:rPr>
        <w:t>to</w:t>
      </w:r>
      <w:r w:rsidR="00C80B2C" w:rsidRPr="00D01F91">
        <w:rPr>
          <w:rFonts w:ascii="Times New Roman" w:hAnsi="Times New Roman" w:cs="Times New Roman"/>
          <w:color w:val="231F20"/>
        </w:rPr>
        <w:t xml:space="preserve"> be aware of as you plan for the</w:t>
      </w:r>
      <w:r w:rsidR="00DB4B6F" w:rsidRPr="00D01F91">
        <w:rPr>
          <w:rFonts w:ascii="Times New Roman" w:hAnsi="Times New Roman" w:cs="Times New Roman"/>
          <w:color w:val="231F20"/>
        </w:rPr>
        <w:t xml:space="preserve"> 2025</w:t>
      </w:r>
      <w:r w:rsidR="00C80B2C" w:rsidRPr="00D01F91">
        <w:rPr>
          <w:rFonts w:ascii="Times New Roman" w:hAnsi="Times New Roman" w:cs="Times New Roman"/>
          <w:color w:val="231F20"/>
        </w:rPr>
        <w:t xml:space="preserve"> tax year. </w:t>
      </w:r>
      <w:r w:rsidR="00D01F91" w:rsidRPr="00D01F91">
        <w:rPr>
          <w:rFonts w:ascii="Times New Roman" w:hAnsi="Times New Roman" w:cs="Times New Roman"/>
          <w:color w:val="231F20"/>
        </w:rPr>
        <w:t xml:space="preserve"> </w:t>
      </w:r>
    </w:p>
    <w:p w14:paraId="6777BC8C" w14:textId="7B403469" w:rsidR="001F5FB8" w:rsidRPr="00D01F91" w:rsidRDefault="00A97FC6" w:rsidP="001F5FB8">
      <w:pPr>
        <w:pStyle w:val="NormalWeb"/>
        <w:spacing w:line="300" w:lineRule="atLeast"/>
        <w:rPr>
          <w:rFonts w:ascii="Times New Roman" w:hAnsi="Times New Roman" w:cs="Times New Roman"/>
          <w:color w:val="231F20"/>
        </w:rPr>
      </w:pPr>
      <w:r>
        <w:rPr>
          <w:rStyle w:val="Strong"/>
          <w:rFonts w:ascii="Times New Roman" w:hAnsi="Times New Roman" w:cs="Times New Roman"/>
          <w:color w:val="231F20"/>
        </w:rPr>
        <w:t xml:space="preserve">Highlights </w:t>
      </w:r>
      <w:r w:rsidR="00F63DC9">
        <w:rPr>
          <w:rStyle w:val="Strong"/>
          <w:rFonts w:ascii="Times New Roman" w:hAnsi="Times New Roman" w:cs="Times New Roman"/>
          <w:color w:val="231F20"/>
        </w:rPr>
        <w:t>for</w:t>
      </w:r>
      <w:r w:rsidR="001F5FB8" w:rsidRPr="00D01F91">
        <w:rPr>
          <w:rStyle w:val="Strong"/>
          <w:rFonts w:ascii="Times New Roman" w:hAnsi="Times New Roman" w:cs="Times New Roman"/>
          <w:color w:val="231F20"/>
        </w:rPr>
        <w:t xml:space="preserve"> individuals</w:t>
      </w:r>
    </w:p>
    <w:p w14:paraId="77892903" w14:textId="54E3D8D6" w:rsidR="001F5FB8" w:rsidRPr="00D01F91" w:rsidRDefault="001F5FB8" w:rsidP="001F5FB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31F20"/>
        </w:rPr>
      </w:pPr>
      <w:r w:rsidRPr="00D01F91">
        <w:rPr>
          <w:rFonts w:ascii="Times New Roman" w:eastAsia="Times New Roman" w:hAnsi="Times New Roman" w:cs="Times New Roman"/>
          <w:color w:val="231F20"/>
        </w:rPr>
        <w:t>Makes permanent the TCJA’s individual tax rates of 10%, 12%, 22%, 24%, 32%, 35% and 37%</w:t>
      </w:r>
      <w:r w:rsidR="001F08AF" w:rsidRPr="00D01F91">
        <w:rPr>
          <w:rFonts w:ascii="Times New Roman" w:eastAsia="Times New Roman" w:hAnsi="Times New Roman" w:cs="Times New Roman"/>
          <w:color w:val="231F20"/>
        </w:rPr>
        <w:t>,</w:t>
      </w:r>
    </w:p>
    <w:p w14:paraId="63F75658" w14:textId="4CA1FDEE" w:rsidR="001F5FB8" w:rsidRPr="00D01F91" w:rsidRDefault="001F5FB8" w:rsidP="001F5FB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31F20"/>
        </w:rPr>
      </w:pPr>
      <w:r w:rsidRPr="00D01F91">
        <w:rPr>
          <w:rFonts w:ascii="Times New Roman" w:eastAsia="Times New Roman" w:hAnsi="Times New Roman" w:cs="Times New Roman"/>
          <w:color w:val="231F20"/>
        </w:rPr>
        <w:t>Makes permanent the near doubling of the standard deduction</w:t>
      </w:r>
      <w:r w:rsidR="00755675">
        <w:rPr>
          <w:rFonts w:ascii="Times New Roman" w:eastAsia="Times New Roman" w:hAnsi="Times New Roman" w:cs="Times New Roman"/>
          <w:color w:val="231F20"/>
        </w:rPr>
        <w:t>,</w:t>
      </w:r>
      <w:r w:rsidRPr="00D01F91">
        <w:rPr>
          <w:rFonts w:ascii="Times New Roman" w:eastAsia="Times New Roman" w:hAnsi="Times New Roman" w:cs="Times New Roman"/>
          <w:color w:val="231F20"/>
        </w:rPr>
        <w:t xml:space="preserve"> </w:t>
      </w:r>
      <w:r w:rsidR="00684D9D">
        <w:rPr>
          <w:rFonts w:ascii="Times New Roman" w:eastAsia="Times New Roman" w:hAnsi="Times New Roman" w:cs="Times New Roman"/>
          <w:color w:val="231F20"/>
        </w:rPr>
        <w:t>plus f</w:t>
      </w:r>
      <w:r w:rsidRPr="00D01F91">
        <w:rPr>
          <w:rFonts w:ascii="Times New Roman" w:eastAsia="Times New Roman" w:hAnsi="Times New Roman" w:cs="Times New Roman"/>
          <w:color w:val="231F20"/>
        </w:rPr>
        <w:t xml:space="preserve">or 2025 increases </w:t>
      </w:r>
      <w:r w:rsidR="00A7678E">
        <w:rPr>
          <w:rFonts w:ascii="Times New Roman" w:eastAsia="Times New Roman" w:hAnsi="Times New Roman" w:cs="Times New Roman"/>
          <w:color w:val="231F20"/>
        </w:rPr>
        <w:t xml:space="preserve">it </w:t>
      </w:r>
      <w:r w:rsidRPr="00D01F91">
        <w:rPr>
          <w:rFonts w:ascii="Times New Roman" w:eastAsia="Times New Roman" w:hAnsi="Times New Roman" w:cs="Times New Roman"/>
          <w:color w:val="231F20"/>
        </w:rPr>
        <w:t>to $15,750 for single filers, $23,625 for heads of households and $31,500 for joint filers, with annual inflation adjustments going forward</w:t>
      </w:r>
      <w:r w:rsidR="00CA491C" w:rsidRPr="00D01F91">
        <w:rPr>
          <w:rFonts w:ascii="Times New Roman" w:eastAsia="Times New Roman" w:hAnsi="Times New Roman" w:cs="Times New Roman"/>
          <w:color w:val="231F20"/>
        </w:rPr>
        <w:t>,</w:t>
      </w:r>
    </w:p>
    <w:p w14:paraId="13095D7A" w14:textId="7D97752A" w:rsidR="001F5FB8" w:rsidRPr="00D01F91" w:rsidRDefault="00657393" w:rsidP="001F5FB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Make permanent</w:t>
      </w:r>
      <w:r w:rsidR="001F5FB8" w:rsidRPr="00D01F91">
        <w:rPr>
          <w:rFonts w:ascii="Times New Roman" w:eastAsia="Times New Roman" w:hAnsi="Times New Roman" w:cs="Times New Roman"/>
          <w:color w:val="231F20"/>
        </w:rPr>
        <w:t xml:space="preserve"> the </w:t>
      </w:r>
      <w:r>
        <w:rPr>
          <w:rFonts w:ascii="Times New Roman" w:eastAsia="Times New Roman" w:hAnsi="Times New Roman" w:cs="Times New Roman"/>
          <w:color w:val="231F20"/>
        </w:rPr>
        <w:t xml:space="preserve">higher </w:t>
      </w:r>
      <w:r w:rsidR="001F5FB8" w:rsidRPr="00D01F91">
        <w:rPr>
          <w:rFonts w:ascii="Times New Roman" w:eastAsia="Times New Roman" w:hAnsi="Times New Roman" w:cs="Times New Roman"/>
          <w:color w:val="231F20"/>
        </w:rPr>
        <w:t>child tax credit</w:t>
      </w:r>
      <w:r>
        <w:rPr>
          <w:rFonts w:ascii="Times New Roman" w:eastAsia="Times New Roman" w:hAnsi="Times New Roman" w:cs="Times New Roman"/>
          <w:color w:val="231F20"/>
        </w:rPr>
        <w:t>, plus for 20</w:t>
      </w:r>
      <w:r w:rsidR="00217E94">
        <w:rPr>
          <w:rFonts w:ascii="Times New Roman" w:eastAsia="Times New Roman" w:hAnsi="Times New Roman" w:cs="Times New Roman"/>
          <w:color w:val="231F20"/>
        </w:rPr>
        <w:t>2</w:t>
      </w:r>
      <w:r>
        <w:rPr>
          <w:rFonts w:ascii="Times New Roman" w:eastAsia="Times New Roman" w:hAnsi="Times New Roman" w:cs="Times New Roman"/>
          <w:color w:val="231F20"/>
        </w:rPr>
        <w:t xml:space="preserve">5 increases </w:t>
      </w:r>
      <w:r w:rsidR="00A7678E">
        <w:rPr>
          <w:rFonts w:ascii="Times New Roman" w:eastAsia="Times New Roman" w:hAnsi="Times New Roman" w:cs="Times New Roman"/>
          <w:color w:val="231F20"/>
        </w:rPr>
        <w:t>it</w:t>
      </w:r>
      <w:r w:rsidR="001F5FB8" w:rsidRPr="00D01F91">
        <w:rPr>
          <w:rFonts w:ascii="Times New Roman" w:eastAsia="Times New Roman" w:hAnsi="Times New Roman" w:cs="Times New Roman"/>
          <w:color w:val="231F20"/>
        </w:rPr>
        <w:t xml:space="preserve"> to $2,200, with annual inflation adjustments going forward</w:t>
      </w:r>
      <w:r w:rsidR="001F08AF" w:rsidRPr="00D01F91">
        <w:rPr>
          <w:rFonts w:ascii="Times New Roman" w:eastAsia="Times New Roman" w:hAnsi="Times New Roman" w:cs="Times New Roman"/>
          <w:color w:val="231F20"/>
        </w:rPr>
        <w:t>,</w:t>
      </w:r>
    </w:p>
    <w:p w14:paraId="6953D1AE" w14:textId="59117A8F" w:rsidR="001F5FB8" w:rsidRPr="00D01F91" w:rsidRDefault="001F5FB8" w:rsidP="001F5FB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31F20"/>
        </w:rPr>
      </w:pPr>
      <w:r w:rsidRPr="00D01F91">
        <w:rPr>
          <w:rFonts w:ascii="Times New Roman" w:eastAsia="Times New Roman" w:hAnsi="Times New Roman" w:cs="Times New Roman"/>
          <w:color w:val="231F20"/>
        </w:rPr>
        <w:t>Temporarily increases the limit on the deduction for state and local taxes (the SALT cap) to $40,000</w:t>
      </w:r>
      <w:r w:rsidR="008C7A12">
        <w:rPr>
          <w:rFonts w:ascii="Times New Roman" w:eastAsia="Times New Roman" w:hAnsi="Times New Roman" w:cs="Times New Roman"/>
          <w:color w:val="231F20"/>
        </w:rPr>
        <w:t xml:space="preserve"> for 2025</w:t>
      </w:r>
      <w:r w:rsidRPr="00D01F91">
        <w:rPr>
          <w:rFonts w:ascii="Times New Roman" w:eastAsia="Times New Roman" w:hAnsi="Times New Roman" w:cs="Times New Roman"/>
          <w:color w:val="231F20"/>
        </w:rPr>
        <w:t>, with a 1% increase each year through 2029, after which the $10,000 limit will return</w:t>
      </w:r>
      <w:r w:rsidR="001F08AF" w:rsidRPr="00D01F91">
        <w:rPr>
          <w:rFonts w:ascii="Times New Roman" w:eastAsia="Times New Roman" w:hAnsi="Times New Roman" w:cs="Times New Roman"/>
          <w:color w:val="231F20"/>
        </w:rPr>
        <w:t>,</w:t>
      </w:r>
    </w:p>
    <w:p w14:paraId="04D41ABD" w14:textId="7A506D24" w:rsidR="001F5FB8" w:rsidRPr="00D01F91" w:rsidRDefault="001F5FB8" w:rsidP="001F5FB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31F20"/>
        </w:rPr>
      </w:pPr>
      <w:r w:rsidRPr="00D01F91">
        <w:rPr>
          <w:rFonts w:ascii="Times New Roman" w:eastAsia="Times New Roman" w:hAnsi="Times New Roman" w:cs="Times New Roman"/>
          <w:color w:val="231F20"/>
        </w:rPr>
        <w:t xml:space="preserve">Expands the allowable </w:t>
      </w:r>
      <w:r w:rsidR="00A378D7" w:rsidRPr="00D01F91">
        <w:rPr>
          <w:rFonts w:ascii="Times New Roman" w:eastAsia="Times New Roman" w:hAnsi="Times New Roman" w:cs="Times New Roman"/>
          <w:color w:val="231F20"/>
        </w:rPr>
        <w:t xml:space="preserve">education </w:t>
      </w:r>
      <w:r w:rsidRPr="00D01F91">
        <w:rPr>
          <w:rFonts w:ascii="Times New Roman" w:eastAsia="Times New Roman" w:hAnsi="Times New Roman" w:cs="Times New Roman"/>
          <w:color w:val="231F20"/>
        </w:rPr>
        <w:t>expenses that can be paid with tax-</w:t>
      </w:r>
      <w:r w:rsidR="004D2A3C" w:rsidRPr="00D01F91">
        <w:rPr>
          <w:rFonts w:ascii="Times New Roman" w:eastAsia="Times New Roman" w:hAnsi="Times New Roman" w:cs="Times New Roman"/>
          <w:color w:val="231F20"/>
        </w:rPr>
        <w:t>free</w:t>
      </w:r>
      <w:r w:rsidRPr="00D01F91">
        <w:rPr>
          <w:rFonts w:ascii="Times New Roman" w:eastAsia="Times New Roman" w:hAnsi="Times New Roman" w:cs="Times New Roman"/>
          <w:color w:val="231F20"/>
        </w:rPr>
        <w:t xml:space="preserve"> Section 529 plan distributions</w:t>
      </w:r>
      <w:r w:rsidR="001F08AF" w:rsidRPr="00D01F91">
        <w:rPr>
          <w:rFonts w:ascii="Times New Roman" w:eastAsia="Times New Roman" w:hAnsi="Times New Roman" w:cs="Times New Roman"/>
          <w:color w:val="231F20"/>
        </w:rPr>
        <w:t>,</w:t>
      </w:r>
      <w:r w:rsidR="00012EDF">
        <w:rPr>
          <w:rFonts w:ascii="Times New Roman" w:eastAsia="Times New Roman" w:hAnsi="Times New Roman" w:cs="Times New Roman"/>
          <w:color w:val="231F20"/>
        </w:rPr>
        <w:t xml:space="preserve"> beginning July 5, 2025, or Jan. 1, 2026, depending on the type of expense,</w:t>
      </w:r>
    </w:p>
    <w:p w14:paraId="61CAD095" w14:textId="1D0693D0" w:rsidR="00F164FA" w:rsidRPr="00D01F91" w:rsidRDefault="00F164FA" w:rsidP="00F164F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31F20"/>
        </w:rPr>
      </w:pPr>
      <w:r w:rsidRPr="00D01F91">
        <w:rPr>
          <w:rFonts w:ascii="Times New Roman" w:eastAsia="Times New Roman" w:hAnsi="Times New Roman" w:cs="Times New Roman"/>
          <w:color w:val="231F20"/>
        </w:rPr>
        <w:t>Permanently increases the federal gift and estate tax exemption amount to $15 million for individuals and $30 million for married couples beginning in 2026, with annual inflation adjustments going forward</w:t>
      </w:r>
      <w:r w:rsidR="001F08AF" w:rsidRPr="00D01F91">
        <w:rPr>
          <w:rFonts w:ascii="Times New Roman" w:eastAsia="Times New Roman" w:hAnsi="Times New Roman" w:cs="Times New Roman"/>
          <w:color w:val="231F20"/>
        </w:rPr>
        <w:t>,</w:t>
      </w:r>
    </w:p>
    <w:p w14:paraId="3CB0C191" w14:textId="50353C28" w:rsidR="00F164FA" w:rsidRPr="00D01F91" w:rsidRDefault="00F164FA" w:rsidP="00F164F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31F20"/>
        </w:rPr>
      </w:pPr>
      <w:r w:rsidRPr="00D01F91">
        <w:rPr>
          <w:rFonts w:ascii="Times New Roman" w:eastAsia="Times New Roman" w:hAnsi="Times New Roman" w:cs="Times New Roman"/>
          <w:color w:val="231F20"/>
        </w:rPr>
        <w:t xml:space="preserve">For 2025–2028, creates a </w:t>
      </w:r>
      <w:r w:rsidR="004E7880">
        <w:rPr>
          <w:rFonts w:ascii="Times New Roman" w:eastAsia="Times New Roman" w:hAnsi="Times New Roman" w:cs="Times New Roman"/>
          <w:color w:val="231F20"/>
        </w:rPr>
        <w:t>new</w:t>
      </w:r>
      <w:r w:rsidRPr="00D01F91">
        <w:rPr>
          <w:rFonts w:ascii="Times New Roman" w:eastAsia="Times New Roman" w:hAnsi="Times New Roman" w:cs="Times New Roman"/>
          <w:color w:val="231F20"/>
        </w:rPr>
        <w:t xml:space="preserve"> deduction of up to $25,000 for tip income in certain industries, </w:t>
      </w:r>
      <w:r w:rsidR="00256623">
        <w:rPr>
          <w:rFonts w:ascii="Times New Roman" w:eastAsia="Times New Roman" w:hAnsi="Times New Roman" w:cs="Times New Roman"/>
          <w:color w:val="231F20"/>
        </w:rPr>
        <w:t>subject to</w:t>
      </w:r>
      <w:r w:rsidR="00256623" w:rsidRPr="00D01F91">
        <w:rPr>
          <w:rFonts w:ascii="Times New Roman" w:eastAsia="Times New Roman" w:hAnsi="Times New Roman" w:cs="Times New Roman"/>
          <w:color w:val="231F20"/>
        </w:rPr>
        <w:t xml:space="preserve"> </w:t>
      </w:r>
      <w:r w:rsidRPr="00D01F91">
        <w:rPr>
          <w:rFonts w:ascii="Times New Roman" w:eastAsia="Times New Roman" w:hAnsi="Times New Roman" w:cs="Times New Roman"/>
          <w:color w:val="231F20"/>
        </w:rPr>
        <w:t>income-based phaseouts</w:t>
      </w:r>
      <w:r w:rsidR="001F08AF" w:rsidRPr="00D01F91">
        <w:rPr>
          <w:rFonts w:ascii="Times New Roman" w:eastAsia="Times New Roman" w:hAnsi="Times New Roman" w:cs="Times New Roman"/>
          <w:color w:val="231F20"/>
        </w:rPr>
        <w:t>,</w:t>
      </w:r>
    </w:p>
    <w:p w14:paraId="63FE9E8E" w14:textId="2551A439" w:rsidR="00F164FA" w:rsidRPr="00D01F91" w:rsidRDefault="00F164FA" w:rsidP="00F164F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31F20"/>
        </w:rPr>
      </w:pPr>
      <w:r w:rsidRPr="00D01F91">
        <w:rPr>
          <w:rFonts w:ascii="Times New Roman" w:eastAsia="Times New Roman" w:hAnsi="Times New Roman" w:cs="Times New Roman"/>
          <w:color w:val="231F20"/>
        </w:rPr>
        <w:t xml:space="preserve">For 2025–2028, creates a </w:t>
      </w:r>
      <w:r w:rsidR="00EE18AD">
        <w:rPr>
          <w:rFonts w:ascii="Times New Roman" w:eastAsia="Times New Roman" w:hAnsi="Times New Roman" w:cs="Times New Roman"/>
          <w:color w:val="231F20"/>
        </w:rPr>
        <w:t xml:space="preserve">new </w:t>
      </w:r>
      <w:r w:rsidRPr="00D01F91">
        <w:rPr>
          <w:rFonts w:ascii="Times New Roman" w:eastAsia="Times New Roman" w:hAnsi="Times New Roman" w:cs="Times New Roman"/>
          <w:color w:val="231F20"/>
        </w:rPr>
        <w:t xml:space="preserve">deduction of up to $12,500 for single filers or $25,000 for joint filers for qualified overtime pay, </w:t>
      </w:r>
      <w:r w:rsidR="00256623">
        <w:rPr>
          <w:rFonts w:ascii="Times New Roman" w:eastAsia="Times New Roman" w:hAnsi="Times New Roman" w:cs="Times New Roman"/>
          <w:color w:val="231F20"/>
        </w:rPr>
        <w:t>subject to</w:t>
      </w:r>
      <w:r w:rsidR="00256623" w:rsidRPr="00D01F91">
        <w:rPr>
          <w:rFonts w:ascii="Times New Roman" w:eastAsia="Times New Roman" w:hAnsi="Times New Roman" w:cs="Times New Roman"/>
          <w:color w:val="231F20"/>
        </w:rPr>
        <w:t xml:space="preserve"> </w:t>
      </w:r>
      <w:r w:rsidRPr="00D01F91">
        <w:rPr>
          <w:rFonts w:ascii="Times New Roman" w:eastAsia="Times New Roman" w:hAnsi="Times New Roman" w:cs="Times New Roman"/>
          <w:color w:val="231F20"/>
        </w:rPr>
        <w:t>income-based phaseouts</w:t>
      </w:r>
      <w:r w:rsidR="001F08AF" w:rsidRPr="00D01F91">
        <w:rPr>
          <w:rFonts w:ascii="Times New Roman" w:eastAsia="Times New Roman" w:hAnsi="Times New Roman" w:cs="Times New Roman"/>
          <w:color w:val="231F20"/>
        </w:rPr>
        <w:t>,</w:t>
      </w:r>
    </w:p>
    <w:p w14:paraId="3A15A758" w14:textId="39A67DCF" w:rsidR="00F164FA" w:rsidRPr="00D01F91" w:rsidRDefault="00F164FA" w:rsidP="00F164F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31F20"/>
        </w:rPr>
      </w:pPr>
      <w:r w:rsidRPr="00D01F91">
        <w:rPr>
          <w:rFonts w:ascii="Times New Roman" w:eastAsia="Times New Roman" w:hAnsi="Times New Roman" w:cs="Times New Roman"/>
          <w:color w:val="231F20"/>
        </w:rPr>
        <w:t xml:space="preserve">For 2025–2028, creates an above-the-line deduction of up to $10,000 for qualified passenger vehicle loan interest on the purchase of certain American-made vehicles, </w:t>
      </w:r>
      <w:r w:rsidR="00951341">
        <w:rPr>
          <w:rFonts w:ascii="Times New Roman" w:eastAsia="Times New Roman" w:hAnsi="Times New Roman" w:cs="Times New Roman"/>
          <w:color w:val="231F20"/>
        </w:rPr>
        <w:t>subject to</w:t>
      </w:r>
      <w:r w:rsidR="00951341" w:rsidRPr="00D01F91">
        <w:rPr>
          <w:rFonts w:ascii="Times New Roman" w:eastAsia="Times New Roman" w:hAnsi="Times New Roman" w:cs="Times New Roman"/>
          <w:color w:val="231F20"/>
        </w:rPr>
        <w:t xml:space="preserve"> </w:t>
      </w:r>
      <w:r w:rsidRPr="00D01F91">
        <w:rPr>
          <w:rFonts w:ascii="Times New Roman" w:eastAsia="Times New Roman" w:hAnsi="Times New Roman" w:cs="Times New Roman"/>
          <w:color w:val="231F20"/>
        </w:rPr>
        <w:t>income-based phaseouts</w:t>
      </w:r>
      <w:r w:rsidR="001F08AF" w:rsidRPr="00D01F91">
        <w:rPr>
          <w:rFonts w:ascii="Times New Roman" w:eastAsia="Times New Roman" w:hAnsi="Times New Roman" w:cs="Times New Roman"/>
          <w:color w:val="231F20"/>
        </w:rPr>
        <w:t>,</w:t>
      </w:r>
    </w:p>
    <w:p w14:paraId="192DFCC1" w14:textId="6B8CF6A9" w:rsidR="00F164FA" w:rsidRPr="00D01F91" w:rsidRDefault="00F164FA" w:rsidP="00F164F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31F20"/>
        </w:rPr>
      </w:pPr>
      <w:r w:rsidRPr="00D01F91">
        <w:rPr>
          <w:rFonts w:ascii="Times New Roman" w:eastAsia="Times New Roman" w:hAnsi="Times New Roman" w:cs="Times New Roman"/>
          <w:color w:val="231F20"/>
        </w:rPr>
        <w:t>For 2025–2028, creates a</w:t>
      </w:r>
      <w:r w:rsidR="00150FA6">
        <w:rPr>
          <w:rFonts w:ascii="Times New Roman" w:eastAsia="Times New Roman" w:hAnsi="Times New Roman" w:cs="Times New Roman"/>
          <w:color w:val="231F20"/>
        </w:rPr>
        <w:t>n</w:t>
      </w:r>
      <w:r w:rsidRPr="00D01F91">
        <w:rPr>
          <w:rFonts w:ascii="Times New Roman" w:eastAsia="Times New Roman" w:hAnsi="Times New Roman" w:cs="Times New Roman"/>
          <w:color w:val="231F20"/>
        </w:rPr>
        <w:t xml:space="preserve"> </w:t>
      </w:r>
      <w:r w:rsidR="00150FA6">
        <w:rPr>
          <w:rFonts w:ascii="Times New Roman" w:eastAsia="Times New Roman" w:hAnsi="Times New Roman" w:cs="Times New Roman"/>
          <w:color w:val="231F20"/>
        </w:rPr>
        <w:t>additional</w:t>
      </w:r>
      <w:r w:rsidR="00150FA6" w:rsidRPr="00D01F91">
        <w:rPr>
          <w:rFonts w:ascii="Times New Roman" w:eastAsia="Times New Roman" w:hAnsi="Times New Roman" w:cs="Times New Roman"/>
          <w:color w:val="231F20"/>
        </w:rPr>
        <w:t xml:space="preserve"> </w:t>
      </w:r>
      <w:r w:rsidRPr="00D01F91">
        <w:rPr>
          <w:rFonts w:ascii="Times New Roman" w:eastAsia="Times New Roman" w:hAnsi="Times New Roman" w:cs="Times New Roman"/>
          <w:color w:val="231F20"/>
        </w:rPr>
        <w:t xml:space="preserve">deduction of up to $6,000 for taxpayers age 65 or older, </w:t>
      </w:r>
      <w:r w:rsidR="00951341">
        <w:rPr>
          <w:rFonts w:ascii="Times New Roman" w:eastAsia="Times New Roman" w:hAnsi="Times New Roman" w:cs="Times New Roman"/>
          <w:color w:val="231F20"/>
        </w:rPr>
        <w:t>subject to</w:t>
      </w:r>
      <w:r w:rsidR="00951341" w:rsidRPr="00D01F91">
        <w:rPr>
          <w:rFonts w:ascii="Times New Roman" w:eastAsia="Times New Roman" w:hAnsi="Times New Roman" w:cs="Times New Roman"/>
          <w:color w:val="231F20"/>
        </w:rPr>
        <w:t xml:space="preserve"> </w:t>
      </w:r>
      <w:r w:rsidRPr="00D01F91">
        <w:rPr>
          <w:rFonts w:ascii="Times New Roman" w:eastAsia="Times New Roman" w:hAnsi="Times New Roman" w:cs="Times New Roman"/>
          <w:color w:val="231F20"/>
        </w:rPr>
        <w:t>income-based phaseouts</w:t>
      </w:r>
      <w:r w:rsidR="001F08AF" w:rsidRPr="00D01F91">
        <w:rPr>
          <w:rFonts w:ascii="Times New Roman" w:eastAsia="Times New Roman" w:hAnsi="Times New Roman" w:cs="Times New Roman"/>
          <w:color w:val="231F20"/>
        </w:rPr>
        <w:t>, and</w:t>
      </w:r>
    </w:p>
    <w:p w14:paraId="144637F3" w14:textId="0476EBD8" w:rsidR="00F164FA" w:rsidRPr="00D01F91" w:rsidRDefault="00F164FA" w:rsidP="00F164F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31F20"/>
        </w:rPr>
      </w:pPr>
      <w:r w:rsidRPr="00D01F91">
        <w:rPr>
          <w:rFonts w:ascii="Times New Roman" w:eastAsia="Times New Roman" w:hAnsi="Times New Roman" w:cs="Times New Roman"/>
          <w:color w:val="231F20"/>
        </w:rPr>
        <w:t xml:space="preserve">Eliminates clean energy tax credits, generally after 2025, </w:t>
      </w:r>
      <w:r w:rsidR="00BE5630">
        <w:rPr>
          <w:rFonts w:ascii="Times New Roman" w:eastAsia="Times New Roman" w:hAnsi="Times New Roman" w:cs="Times New Roman"/>
          <w:color w:val="231F20"/>
        </w:rPr>
        <w:t>such as</w:t>
      </w:r>
      <w:r w:rsidR="00BE5630" w:rsidRPr="00D01F91">
        <w:rPr>
          <w:rFonts w:ascii="Times New Roman" w:eastAsia="Times New Roman" w:hAnsi="Times New Roman" w:cs="Times New Roman"/>
          <w:color w:val="231F20"/>
        </w:rPr>
        <w:t xml:space="preserve"> </w:t>
      </w:r>
      <w:r w:rsidRPr="00D01F91">
        <w:rPr>
          <w:rFonts w:ascii="Times New Roman" w:eastAsia="Times New Roman" w:hAnsi="Times New Roman" w:cs="Times New Roman"/>
          <w:color w:val="231F20"/>
        </w:rPr>
        <w:t>the energy-efficient home improvement and residential clean energy credits</w:t>
      </w:r>
      <w:r w:rsidR="008376CA">
        <w:rPr>
          <w:rFonts w:ascii="Times New Roman" w:eastAsia="Times New Roman" w:hAnsi="Times New Roman" w:cs="Times New Roman"/>
          <w:color w:val="231F20"/>
        </w:rPr>
        <w:t xml:space="preserve"> – but </w:t>
      </w:r>
      <w:r w:rsidR="00187672">
        <w:rPr>
          <w:rFonts w:ascii="Times New Roman" w:eastAsia="Times New Roman" w:hAnsi="Times New Roman" w:cs="Times New Roman"/>
          <w:color w:val="231F20"/>
        </w:rPr>
        <w:t xml:space="preserve">eliminates </w:t>
      </w:r>
      <w:r w:rsidR="00E45484">
        <w:rPr>
          <w:rFonts w:ascii="Times New Roman" w:eastAsia="Times New Roman" w:hAnsi="Times New Roman" w:cs="Times New Roman"/>
          <w:color w:val="231F20"/>
        </w:rPr>
        <w:t xml:space="preserve">the </w:t>
      </w:r>
      <w:r w:rsidR="008376CA" w:rsidRPr="00D01F91">
        <w:rPr>
          <w:rFonts w:ascii="Times New Roman" w:eastAsia="Times New Roman" w:hAnsi="Times New Roman" w:cs="Times New Roman"/>
          <w:color w:val="231F20"/>
        </w:rPr>
        <w:t>clean vehicle</w:t>
      </w:r>
      <w:r w:rsidR="008376CA">
        <w:rPr>
          <w:rFonts w:ascii="Times New Roman" w:eastAsia="Times New Roman" w:hAnsi="Times New Roman" w:cs="Times New Roman"/>
          <w:color w:val="231F20"/>
        </w:rPr>
        <w:t xml:space="preserve"> credits</w:t>
      </w:r>
      <w:r w:rsidR="00B242B1">
        <w:rPr>
          <w:rFonts w:ascii="Times New Roman" w:eastAsia="Times New Roman" w:hAnsi="Times New Roman" w:cs="Times New Roman"/>
          <w:color w:val="231F20"/>
        </w:rPr>
        <w:t xml:space="preserve"> for</w:t>
      </w:r>
      <w:r w:rsidR="00E45484">
        <w:rPr>
          <w:rFonts w:ascii="Times New Roman" w:eastAsia="Times New Roman" w:hAnsi="Times New Roman" w:cs="Times New Roman"/>
          <w:color w:val="231F20"/>
        </w:rPr>
        <w:t xml:space="preserve"> both</w:t>
      </w:r>
      <w:r w:rsidR="00B242B1">
        <w:rPr>
          <w:rFonts w:ascii="Times New Roman" w:eastAsia="Times New Roman" w:hAnsi="Times New Roman" w:cs="Times New Roman"/>
          <w:color w:val="231F20"/>
        </w:rPr>
        <w:t xml:space="preserve"> </w:t>
      </w:r>
      <w:r w:rsidR="00E45484">
        <w:rPr>
          <w:rFonts w:ascii="Times New Roman" w:eastAsia="Times New Roman" w:hAnsi="Times New Roman" w:cs="Times New Roman"/>
          <w:color w:val="231F20"/>
        </w:rPr>
        <w:t xml:space="preserve">new and used vehicles </w:t>
      </w:r>
      <w:r w:rsidR="008376CA">
        <w:rPr>
          <w:rFonts w:ascii="Times New Roman" w:eastAsia="Times New Roman" w:hAnsi="Times New Roman" w:cs="Times New Roman"/>
          <w:color w:val="231F20"/>
        </w:rPr>
        <w:t xml:space="preserve">after Sept. </w:t>
      </w:r>
      <w:r w:rsidR="006A33F5">
        <w:rPr>
          <w:rFonts w:ascii="Times New Roman" w:eastAsia="Times New Roman" w:hAnsi="Times New Roman" w:cs="Times New Roman"/>
          <w:color w:val="231F20"/>
        </w:rPr>
        <w:t>30, 2025</w:t>
      </w:r>
      <w:r w:rsidR="001F08AF" w:rsidRPr="00D01F91">
        <w:rPr>
          <w:rFonts w:ascii="Times New Roman" w:eastAsia="Times New Roman" w:hAnsi="Times New Roman" w:cs="Times New Roman"/>
          <w:color w:val="231F20"/>
        </w:rPr>
        <w:t>.</w:t>
      </w:r>
    </w:p>
    <w:p w14:paraId="1D54B875" w14:textId="4EF36E91" w:rsidR="00DA4397" w:rsidRPr="00D01F91" w:rsidRDefault="00A97FC6" w:rsidP="00DA4397">
      <w:pPr>
        <w:pStyle w:val="NormalWeb"/>
        <w:spacing w:line="300" w:lineRule="atLeast"/>
        <w:rPr>
          <w:rFonts w:ascii="Times New Roman" w:hAnsi="Times New Roman" w:cs="Times New Roman"/>
          <w:color w:val="231F20"/>
        </w:rPr>
      </w:pPr>
      <w:r>
        <w:rPr>
          <w:rStyle w:val="Strong"/>
          <w:rFonts w:ascii="Times New Roman" w:hAnsi="Times New Roman" w:cs="Times New Roman"/>
          <w:color w:val="231F20"/>
        </w:rPr>
        <w:t xml:space="preserve">Highlights </w:t>
      </w:r>
      <w:r w:rsidR="004F7F56">
        <w:rPr>
          <w:rStyle w:val="Strong"/>
          <w:rFonts w:ascii="Times New Roman" w:hAnsi="Times New Roman" w:cs="Times New Roman"/>
          <w:color w:val="231F20"/>
        </w:rPr>
        <w:t>for</w:t>
      </w:r>
      <w:r w:rsidR="00DA4397" w:rsidRPr="00D01F91">
        <w:rPr>
          <w:rStyle w:val="Strong"/>
          <w:rFonts w:ascii="Times New Roman" w:hAnsi="Times New Roman" w:cs="Times New Roman"/>
          <w:color w:val="231F20"/>
        </w:rPr>
        <w:t xml:space="preserve"> businesses</w:t>
      </w:r>
    </w:p>
    <w:p w14:paraId="56352224" w14:textId="766BAE69" w:rsidR="00DA4397" w:rsidRPr="00D01F91" w:rsidRDefault="00DA4397" w:rsidP="00DA439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31F20"/>
        </w:rPr>
      </w:pPr>
      <w:r w:rsidRPr="00D01F91">
        <w:rPr>
          <w:rFonts w:ascii="Times New Roman" w:eastAsia="Times New Roman" w:hAnsi="Times New Roman" w:cs="Times New Roman"/>
          <w:color w:val="231F20"/>
        </w:rPr>
        <w:t xml:space="preserve">Makes permanent and expands the 20% </w:t>
      </w:r>
      <w:r w:rsidR="00CB58FF">
        <w:rPr>
          <w:rFonts w:ascii="Times New Roman" w:eastAsia="Times New Roman" w:hAnsi="Times New Roman" w:cs="Times New Roman"/>
          <w:color w:val="231F20"/>
        </w:rPr>
        <w:t xml:space="preserve">Sec. 199A </w:t>
      </w:r>
      <w:r w:rsidRPr="00D01F91">
        <w:rPr>
          <w:rFonts w:ascii="Times New Roman" w:eastAsia="Times New Roman" w:hAnsi="Times New Roman" w:cs="Times New Roman"/>
          <w:color w:val="231F20"/>
        </w:rPr>
        <w:t>qualified business income (QBI) deduction for owners of pass-through entities (such as partnerships, limited liability companies and S corporations) and sole proprietorships</w:t>
      </w:r>
      <w:r w:rsidR="001F08AF" w:rsidRPr="00D01F91">
        <w:rPr>
          <w:rFonts w:ascii="Times New Roman" w:eastAsia="Times New Roman" w:hAnsi="Times New Roman" w:cs="Times New Roman"/>
          <w:color w:val="231F20"/>
        </w:rPr>
        <w:t>,</w:t>
      </w:r>
    </w:p>
    <w:p w14:paraId="6E82B948" w14:textId="2619A21A" w:rsidR="00DA4397" w:rsidRPr="00D01F91" w:rsidRDefault="00DA4397" w:rsidP="007708D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31F20"/>
        </w:rPr>
      </w:pPr>
      <w:r w:rsidRPr="00D01F91">
        <w:rPr>
          <w:rFonts w:ascii="Times New Roman" w:eastAsia="Times New Roman" w:hAnsi="Times New Roman" w:cs="Times New Roman"/>
          <w:color w:val="231F20"/>
        </w:rPr>
        <w:t xml:space="preserve">Makes </w:t>
      </w:r>
      <w:r w:rsidR="002E0980">
        <w:rPr>
          <w:rFonts w:ascii="Times New Roman" w:eastAsia="Times New Roman" w:hAnsi="Times New Roman" w:cs="Times New Roman"/>
          <w:color w:val="231F20"/>
        </w:rPr>
        <w:t xml:space="preserve">bonus depreciation </w:t>
      </w:r>
      <w:r w:rsidRPr="00D01F91">
        <w:rPr>
          <w:rFonts w:ascii="Times New Roman" w:eastAsia="Times New Roman" w:hAnsi="Times New Roman" w:cs="Times New Roman"/>
          <w:color w:val="231F20"/>
        </w:rPr>
        <w:t>permanent</w:t>
      </w:r>
      <w:r w:rsidR="002E0980">
        <w:rPr>
          <w:rFonts w:ascii="Times New Roman" w:eastAsia="Times New Roman" w:hAnsi="Times New Roman" w:cs="Times New Roman"/>
          <w:color w:val="231F20"/>
        </w:rPr>
        <w:t xml:space="preserve"> and increases it to</w:t>
      </w:r>
      <w:r w:rsidRPr="00D01F91">
        <w:rPr>
          <w:rFonts w:ascii="Times New Roman" w:eastAsia="Times New Roman" w:hAnsi="Times New Roman" w:cs="Times New Roman"/>
          <w:color w:val="231F20"/>
        </w:rPr>
        <w:t xml:space="preserve"> 100% for qualified new and used assets acquired after January 19, 2025</w:t>
      </w:r>
      <w:r w:rsidR="001F08AF" w:rsidRPr="00D01F91">
        <w:rPr>
          <w:rFonts w:ascii="Times New Roman" w:eastAsia="Times New Roman" w:hAnsi="Times New Roman" w:cs="Times New Roman"/>
          <w:color w:val="231F20"/>
        </w:rPr>
        <w:t>,</w:t>
      </w:r>
    </w:p>
    <w:p w14:paraId="46529C6E" w14:textId="21290132" w:rsidR="00DA4397" w:rsidRPr="00D01F91" w:rsidRDefault="00DA4397" w:rsidP="00DA439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31F20"/>
        </w:rPr>
      </w:pPr>
      <w:r w:rsidRPr="00D01F91">
        <w:rPr>
          <w:rFonts w:ascii="Times New Roman" w:eastAsia="Times New Roman" w:hAnsi="Times New Roman" w:cs="Times New Roman"/>
          <w:color w:val="231F20"/>
        </w:rPr>
        <w:t>Increases the Sec. 179 expensing limit to $2.5 million and the expensing phaseout threshold to $4 million for 2025, with annual inflation adjustments going forward</w:t>
      </w:r>
      <w:r w:rsidR="001F08AF" w:rsidRPr="00D01F91">
        <w:rPr>
          <w:rFonts w:ascii="Times New Roman" w:eastAsia="Times New Roman" w:hAnsi="Times New Roman" w:cs="Times New Roman"/>
          <w:color w:val="231F20"/>
        </w:rPr>
        <w:t>,</w:t>
      </w:r>
    </w:p>
    <w:p w14:paraId="6BD440AA" w14:textId="5C957FC7" w:rsidR="00DA4397" w:rsidRPr="00D01F91" w:rsidRDefault="00DA4397" w:rsidP="00DA439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31F20"/>
        </w:rPr>
      </w:pPr>
      <w:r w:rsidRPr="00D01F91">
        <w:rPr>
          <w:rFonts w:ascii="Times New Roman" w:eastAsia="Times New Roman" w:hAnsi="Times New Roman" w:cs="Times New Roman"/>
          <w:color w:val="231F20"/>
        </w:rPr>
        <w:t>Permanently allows the immediate deduction of domestic research and experimentation expenses (retroactive to 2022 for eligible small businesses)</w:t>
      </w:r>
      <w:r w:rsidR="001F08AF" w:rsidRPr="00D01F91">
        <w:rPr>
          <w:rFonts w:ascii="Times New Roman" w:eastAsia="Times New Roman" w:hAnsi="Times New Roman" w:cs="Times New Roman"/>
          <w:color w:val="231F20"/>
        </w:rPr>
        <w:t>, and</w:t>
      </w:r>
    </w:p>
    <w:p w14:paraId="0A6F8CA9" w14:textId="1DC91F28" w:rsidR="00F164FA" w:rsidRDefault="00DA4397" w:rsidP="001F08A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31F20"/>
        </w:rPr>
      </w:pPr>
      <w:r w:rsidRPr="00D01F91">
        <w:rPr>
          <w:rFonts w:ascii="Times New Roman" w:eastAsia="Times New Roman" w:hAnsi="Times New Roman" w:cs="Times New Roman"/>
          <w:color w:val="231F20"/>
        </w:rPr>
        <w:t xml:space="preserve">Eliminates clean energy tax incentives, </w:t>
      </w:r>
      <w:r w:rsidR="00E03E41">
        <w:rPr>
          <w:rFonts w:ascii="Times New Roman" w:eastAsia="Times New Roman" w:hAnsi="Times New Roman" w:cs="Times New Roman"/>
          <w:color w:val="231F20"/>
        </w:rPr>
        <w:t xml:space="preserve">such as </w:t>
      </w:r>
      <w:r w:rsidRPr="00D01F91">
        <w:rPr>
          <w:rFonts w:ascii="Times New Roman" w:eastAsia="Times New Roman" w:hAnsi="Times New Roman" w:cs="Times New Roman"/>
          <w:color w:val="231F20"/>
        </w:rPr>
        <w:t>the alternative fuel vehicle refueling property credit and the Sec. 179D deduction for energy-efficient commercial buildings</w:t>
      </w:r>
      <w:r w:rsidR="00E03E41">
        <w:rPr>
          <w:rFonts w:ascii="Times New Roman" w:eastAsia="Times New Roman" w:hAnsi="Times New Roman" w:cs="Times New Roman"/>
          <w:color w:val="231F20"/>
        </w:rPr>
        <w:t xml:space="preserve"> after June 30, 2026</w:t>
      </w:r>
      <w:r w:rsidR="00D64A71">
        <w:rPr>
          <w:rFonts w:ascii="Times New Roman" w:eastAsia="Times New Roman" w:hAnsi="Times New Roman" w:cs="Times New Roman"/>
          <w:color w:val="231F20"/>
        </w:rPr>
        <w:t xml:space="preserve"> – but </w:t>
      </w:r>
      <w:r w:rsidR="00187672">
        <w:rPr>
          <w:rFonts w:ascii="Times New Roman" w:eastAsia="Times New Roman" w:hAnsi="Times New Roman" w:cs="Times New Roman"/>
          <w:color w:val="231F20"/>
        </w:rPr>
        <w:t xml:space="preserve">eliminates </w:t>
      </w:r>
      <w:r w:rsidR="00D64A71" w:rsidRPr="00D01F91">
        <w:rPr>
          <w:rFonts w:ascii="Times New Roman" w:eastAsia="Times New Roman" w:hAnsi="Times New Roman" w:cs="Times New Roman"/>
          <w:color w:val="231F20"/>
        </w:rPr>
        <w:t>the</w:t>
      </w:r>
      <w:r w:rsidR="00F24C17">
        <w:rPr>
          <w:rFonts w:ascii="Times New Roman" w:eastAsia="Times New Roman" w:hAnsi="Times New Roman" w:cs="Times New Roman"/>
          <w:color w:val="231F20"/>
        </w:rPr>
        <w:t xml:space="preserve"> </w:t>
      </w:r>
      <w:r w:rsidR="00F24C17" w:rsidRPr="00D01F91">
        <w:rPr>
          <w:rFonts w:ascii="Times New Roman" w:eastAsia="Times New Roman" w:hAnsi="Times New Roman" w:cs="Times New Roman"/>
          <w:color w:val="231F20"/>
        </w:rPr>
        <w:t>qualified commercial clean vehicle credit</w:t>
      </w:r>
      <w:r w:rsidR="00F24C17">
        <w:rPr>
          <w:rFonts w:ascii="Times New Roman" w:eastAsia="Times New Roman" w:hAnsi="Times New Roman" w:cs="Times New Roman"/>
          <w:color w:val="231F20"/>
        </w:rPr>
        <w:t xml:space="preserve"> after Sept. 30, 2025</w:t>
      </w:r>
      <w:r w:rsidR="001F08AF" w:rsidRPr="00D01F91">
        <w:rPr>
          <w:rFonts w:ascii="Times New Roman" w:eastAsia="Times New Roman" w:hAnsi="Times New Roman" w:cs="Times New Roman"/>
          <w:color w:val="231F20"/>
        </w:rPr>
        <w:t>.</w:t>
      </w:r>
    </w:p>
    <w:p w14:paraId="38132FBA" w14:textId="61BA8E27" w:rsidR="002A6FF1" w:rsidRPr="004F7F56" w:rsidRDefault="000A6694" w:rsidP="003305A6">
      <w:pPr>
        <w:spacing w:before="100" w:beforeAutospacing="1" w:after="100" w:afterAutospacing="1" w:line="30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How will you be affected?</w:t>
      </w:r>
    </w:p>
    <w:p w14:paraId="5B72C775" w14:textId="512CDB99" w:rsidR="00B10B5C" w:rsidRDefault="002A6FF1" w:rsidP="003305A6">
      <w:p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</w:t>
      </w:r>
      <w:r w:rsidR="00D35A7D" w:rsidRPr="00D01F91">
        <w:rPr>
          <w:rFonts w:ascii="Times New Roman" w:hAnsi="Times New Roman" w:cs="Times New Roman"/>
        </w:rPr>
        <w:t>ile th</w:t>
      </w:r>
      <w:r w:rsidR="00792128">
        <w:rPr>
          <w:rFonts w:ascii="Times New Roman" w:hAnsi="Times New Roman" w:cs="Times New Roman"/>
        </w:rPr>
        <w:t>is</w:t>
      </w:r>
      <w:r w:rsidR="00D35A7D" w:rsidRPr="00D01F91">
        <w:rPr>
          <w:rFonts w:ascii="Times New Roman" w:hAnsi="Times New Roman" w:cs="Times New Roman"/>
        </w:rPr>
        <w:t xml:space="preserve"> list may seem extensive, </w:t>
      </w:r>
      <w:r w:rsidR="00792128">
        <w:rPr>
          <w:rFonts w:ascii="Times New Roman" w:hAnsi="Times New Roman" w:cs="Times New Roman"/>
        </w:rPr>
        <w:t>it</w:t>
      </w:r>
      <w:r w:rsidR="00D35A7D" w:rsidRPr="00D01F91">
        <w:rPr>
          <w:rFonts w:ascii="Times New Roman" w:hAnsi="Times New Roman" w:cs="Times New Roman"/>
        </w:rPr>
        <w:t xml:space="preserve"> represent</w:t>
      </w:r>
      <w:r w:rsidR="00792128">
        <w:rPr>
          <w:rFonts w:ascii="Times New Roman" w:hAnsi="Times New Roman" w:cs="Times New Roman"/>
        </w:rPr>
        <w:t>s</w:t>
      </w:r>
      <w:r w:rsidR="00D35A7D" w:rsidRPr="00D01F91">
        <w:rPr>
          <w:rFonts w:ascii="Times New Roman" w:hAnsi="Times New Roman" w:cs="Times New Roman"/>
        </w:rPr>
        <w:t xml:space="preserve"> just </w:t>
      </w:r>
      <w:r w:rsidR="009A00AB">
        <w:rPr>
          <w:rFonts w:ascii="Times New Roman" w:hAnsi="Times New Roman" w:cs="Times New Roman"/>
        </w:rPr>
        <w:t xml:space="preserve">a sampling of </w:t>
      </w:r>
      <w:r w:rsidR="00D35A7D" w:rsidRPr="00D01F91">
        <w:rPr>
          <w:rFonts w:ascii="Times New Roman" w:hAnsi="Times New Roman" w:cs="Times New Roman"/>
        </w:rPr>
        <w:t xml:space="preserve">the </w:t>
      </w:r>
      <w:r w:rsidR="00CB3B25">
        <w:rPr>
          <w:rFonts w:ascii="Times New Roman" w:hAnsi="Times New Roman" w:cs="Times New Roman"/>
        </w:rPr>
        <w:t>tax changes</w:t>
      </w:r>
      <w:r w:rsidR="009A00AB">
        <w:rPr>
          <w:rFonts w:ascii="Times New Roman" w:hAnsi="Times New Roman" w:cs="Times New Roman"/>
        </w:rPr>
        <w:t xml:space="preserve"> included in</w:t>
      </w:r>
      <w:r w:rsidR="00D35A7D" w:rsidRPr="00D01F91">
        <w:rPr>
          <w:rFonts w:ascii="Times New Roman" w:hAnsi="Times New Roman" w:cs="Times New Roman"/>
        </w:rPr>
        <w:t xml:space="preserve"> the 870-page OBBBA. </w:t>
      </w:r>
      <w:r w:rsidR="00877D7B">
        <w:rPr>
          <w:rFonts w:ascii="Times New Roman" w:hAnsi="Times New Roman" w:cs="Times New Roman"/>
        </w:rPr>
        <w:t xml:space="preserve">Contact </w:t>
      </w:r>
      <w:r w:rsidR="00FF0481">
        <w:rPr>
          <w:rFonts w:ascii="Times New Roman" w:hAnsi="Times New Roman" w:cs="Times New Roman"/>
        </w:rPr>
        <w:t xml:space="preserve">us with questions about </w:t>
      </w:r>
      <w:r w:rsidR="003E0E6E">
        <w:rPr>
          <w:rFonts w:ascii="Times New Roman" w:hAnsi="Times New Roman" w:cs="Times New Roman"/>
        </w:rPr>
        <w:t xml:space="preserve">how </w:t>
      </w:r>
      <w:r w:rsidR="00FF0481">
        <w:rPr>
          <w:rFonts w:ascii="Times New Roman" w:hAnsi="Times New Roman" w:cs="Times New Roman"/>
        </w:rPr>
        <w:t xml:space="preserve">the </w:t>
      </w:r>
      <w:r w:rsidR="003E0E6E">
        <w:rPr>
          <w:rFonts w:ascii="Times New Roman" w:hAnsi="Times New Roman" w:cs="Times New Roman"/>
        </w:rPr>
        <w:t>new law will affect you.</w:t>
      </w:r>
      <w:r w:rsidR="00877D7B">
        <w:rPr>
          <w:rFonts w:ascii="Times New Roman" w:hAnsi="Times New Roman" w:cs="Times New Roman"/>
        </w:rPr>
        <w:t xml:space="preserve"> </w:t>
      </w:r>
    </w:p>
    <w:p w14:paraId="6D7DCDDD" w14:textId="77777777" w:rsidR="00BC2218" w:rsidRDefault="00BC2218" w:rsidP="003305A6">
      <w:p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</w:p>
    <w:p w14:paraId="1B644821" w14:textId="77777777" w:rsidR="00BC2218" w:rsidRPr="00D01F91" w:rsidRDefault="00BC2218" w:rsidP="003305A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31F20"/>
        </w:rPr>
      </w:pPr>
    </w:p>
    <w:sectPr w:rsidR="00BC2218" w:rsidRPr="00D01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DB2"/>
    <w:multiLevelType w:val="hybridMultilevel"/>
    <w:tmpl w:val="25929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039F6"/>
    <w:multiLevelType w:val="multilevel"/>
    <w:tmpl w:val="8BE0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34D5F"/>
    <w:multiLevelType w:val="hybridMultilevel"/>
    <w:tmpl w:val="F934C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082A18"/>
    <w:multiLevelType w:val="hybridMultilevel"/>
    <w:tmpl w:val="28046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6213EB"/>
    <w:multiLevelType w:val="hybridMultilevel"/>
    <w:tmpl w:val="AE2C3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365851"/>
    <w:multiLevelType w:val="hybridMultilevel"/>
    <w:tmpl w:val="AE184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103786"/>
    <w:multiLevelType w:val="hybridMultilevel"/>
    <w:tmpl w:val="88628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A233E6"/>
    <w:multiLevelType w:val="hybridMultilevel"/>
    <w:tmpl w:val="65F27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EC510F"/>
    <w:multiLevelType w:val="multilevel"/>
    <w:tmpl w:val="D2A4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698419">
    <w:abstractNumId w:val="5"/>
  </w:num>
  <w:num w:numId="2" w16cid:durableId="524102068">
    <w:abstractNumId w:val="0"/>
  </w:num>
  <w:num w:numId="3" w16cid:durableId="933245889">
    <w:abstractNumId w:val="2"/>
  </w:num>
  <w:num w:numId="4" w16cid:durableId="1703944742">
    <w:abstractNumId w:val="4"/>
  </w:num>
  <w:num w:numId="5" w16cid:durableId="134226671">
    <w:abstractNumId w:val="7"/>
  </w:num>
  <w:num w:numId="6" w16cid:durableId="764688525">
    <w:abstractNumId w:val="3"/>
  </w:num>
  <w:num w:numId="7" w16cid:durableId="326523508">
    <w:abstractNumId w:val="6"/>
  </w:num>
  <w:num w:numId="8" w16cid:durableId="1301761968">
    <w:abstractNumId w:val="8"/>
  </w:num>
  <w:num w:numId="9" w16cid:durableId="168256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FCF773"/>
    <w:rsid w:val="000028F2"/>
    <w:rsid w:val="00012EDF"/>
    <w:rsid w:val="00092AD3"/>
    <w:rsid w:val="000A6694"/>
    <w:rsid w:val="000C6E50"/>
    <w:rsid w:val="001255E0"/>
    <w:rsid w:val="00125B6A"/>
    <w:rsid w:val="00150FA6"/>
    <w:rsid w:val="00164AC0"/>
    <w:rsid w:val="00181B3E"/>
    <w:rsid w:val="00187672"/>
    <w:rsid w:val="001F08AF"/>
    <w:rsid w:val="001F5FB8"/>
    <w:rsid w:val="00217E94"/>
    <w:rsid w:val="00256623"/>
    <w:rsid w:val="0028762D"/>
    <w:rsid w:val="002A358B"/>
    <w:rsid w:val="002A6FF1"/>
    <w:rsid w:val="002E0980"/>
    <w:rsid w:val="00310EEB"/>
    <w:rsid w:val="00313F6E"/>
    <w:rsid w:val="00314A3C"/>
    <w:rsid w:val="00324C1F"/>
    <w:rsid w:val="003305A6"/>
    <w:rsid w:val="00352CF9"/>
    <w:rsid w:val="00357C83"/>
    <w:rsid w:val="003C4770"/>
    <w:rsid w:val="003E0E6E"/>
    <w:rsid w:val="00427ABB"/>
    <w:rsid w:val="00473546"/>
    <w:rsid w:val="004D03B7"/>
    <w:rsid w:val="004D2A3C"/>
    <w:rsid w:val="004E7880"/>
    <w:rsid w:val="004F7F56"/>
    <w:rsid w:val="005125CE"/>
    <w:rsid w:val="00513C1A"/>
    <w:rsid w:val="00585DC6"/>
    <w:rsid w:val="00603580"/>
    <w:rsid w:val="006425C3"/>
    <w:rsid w:val="006461FC"/>
    <w:rsid w:val="00657393"/>
    <w:rsid w:val="0066254B"/>
    <w:rsid w:val="006667E2"/>
    <w:rsid w:val="00684D9D"/>
    <w:rsid w:val="00693825"/>
    <w:rsid w:val="006A33F5"/>
    <w:rsid w:val="006D3D52"/>
    <w:rsid w:val="006D4782"/>
    <w:rsid w:val="00703452"/>
    <w:rsid w:val="00710104"/>
    <w:rsid w:val="00721E03"/>
    <w:rsid w:val="00723739"/>
    <w:rsid w:val="00755675"/>
    <w:rsid w:val="00756358"/>
    <w:rsid w:val="007745A9"/>
    <w:rsid w:val="00785567"/>
    <w:rsid w:val="00792128"/>
    <w:rsid w:val="007957BE"/>
    <w:rsid w:val="007C2693"/>
    <w:rsid w:val="007E5BE3"/>
    <w:rsid w:val="00824EC7"/>
    <w:rsid w:val="008376CA"/>
    <w:rsid w:val="0085227B"/>
    <w:rsid w:val="0085532B"/>
    <w:rsid w:val="00877D7B"/>
    <w:rsid w:val="00887792"/>
    <w:rsid w:val="008C7A12"/>
    <w:rsid w:val="00927CBC"/>
    <w:rsid w:val="00946B60"/>
    <w:rsid w:val="00951341"/>
    <w:rsid w:val="009550CE"/>
    <w:rsid w:val="0096217A"/>
    <w:rsid w:val="009739DF"/>
    <w:rsid w:val="00987578"/>
    <w:rsid w:val="009A00AB"/>
    <w:rsid w:val="009A51D5"/>
    <w:rsid w:val="00A251F5"/>
    <w:rsid w:val="00A350C7"/>
    <w:rsid w:val="00A378D7"/>
    <w:rsid w:val="00A64DF3"/>
    <w:rsid w:val="00A7678E"/>
    <w:rsid w:val="00A81117"/>
    <w:rsid w:val="00A97FC6"/>
    <w:rsid w:val="00AA1C9D"/>
    <w:rsid w:val="00B00DC2"/>
    <w:rsid w:val="00B10191"/>
    <w:rsid w:val="00B10B5C"/>
    <w:rsid w:val="00B242B1"/>
    <w:rsid w:val="00B34C44"/>
    <w:rsid w:val="00B555BB"/>
    <w:rsid w:val="00B84B72"/>
    <w:rsid w:val="00B9615D"/>
    <w:rsid w:val="00BC2218"/>
    <w:rsid w:val="00BE5630"/>
    <w:rsid w:val="00BE6AF4"/>
    <w:rsid w:val="00C079C0"/>
    <w:rsid w:val="00C2408A"/>
    <w:rsid w:val="00C738E1"/>
    <w:rsid w:val="00C80B2C"/>
    <w:rsid w:val="00CA491C"/>
    <w:rsid w:val="00CB3B25"/>
    <w:rsid w:val="00CB58FF"/>
    <w:rsid w:val="00CC12C8"/>
    <w:rsid w:val="00D01F91"/>
    <w:rsid w:val="00D35A7D"/>
    <w:rsid w:val="00D57B39"/>
    <w:rsid w:val="00D64A71"/>
    <w:rsid w:val="00DA2286"/>
    <w:rsid w:val="00DA4397"/>
    <w:rsid w:val="00DA6951"/>
    <w:rsid w:val="00DB4B6F"/>
    <w:rsid w:val="00DD2445"/>
    <w:rsid w:val="00DE7716"/>
    <w:rsid w:val="00E03E41"/>
    <w:rsid w:val="00E37E1E"/>
    <w:rsid w:val="00E45484"/>
    <w:rsid w:val="00E517CD"/>
    <w:rsid w:val="00EE0A59"/>
    <w:rsid w:val="00EE18AD"/>
    <w:rsid w:val="00F06B77"/>
    <w:rsid w:val="00F142E3"/>
    <w:rsid w:val="00F164FA"/>
    <w:rsid w:val="00F24C17"/>
    <w:rsid w:val="00F63DC9"/>
    <w:rsid w:val="00F74545"/>
    <w:rsid w:val="00F82266"/>
    <w:rsid w:val="00FE1E23"/>
    <w:rsid w:val="00FF0481"/>
    <w:rsid w:val="6CFCF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FCF773"/>
  <w15:chartTrackingRefBased/>
  <w15:docId w15:val="{5B6097ED-4EC9-4E1C-A6FA-0B42AE0B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756358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D4782"/>
    <w:pPr>
      <w:spacing w:before="100" w:beforeAutospacing="1" w:after="100" w:afterAutospacing="1" w:line="240" w:lineRule="auto"/>
    </w:pPr>
    <w:rPr>
      <w:rFonts w:ascii="Aptos" w:eastAsiaTheme="minorHAnsi" w:hAnsi="Aptos" w:cs="Aptos"/>
      <w:lang w:eastAsia="en-US"/>
    </w:rPr>
  </w:style>
  <w:style w:type="character" w:styleId="Strong">
    <w:name w:val="Strong"/>
    <w:basedOn w:val="DefaultParagraphFont"/>
    <w:uiPriority w:val="22"/>
    <w:qFormat/>
    <w:rsid w:val="001F5FB8"/>
    <w:rPr>
      <w:b/>
      <w:bCs/>
    </w:rPr>
  </w:style>
  <w:style w:type="paragraph" w:styleId="Revision">
    <w:name w:val="Revision"/>
    <w:hidden/>
    <w:uiPriority w:val="99"/>
    <w:semiHidden/>
    <w:rsid w:val="002876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C1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2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2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3513f82b114e1b9fb76110119e7744e6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3596eefccfc0fd90e1be5382eddbdc5c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FE842-51C2-40B5-91FC-E18AC950E25E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customXml/itemProps2.xml><?xml version="1.0" encoding="utf-8"?>
<ds:datastoreItem xmlns:ds="http://schemas.openxmlformats.org/officeDocument/2006/customXml" ds:itemID="{39552076-7A4E-475C-8649-51EB57561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0BC05-B467-4D0D-BE86-00994593D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640</Words>
  <Characters>3459</Characters>
  <Application>Microsoft Office Word</Application>
  <DocSecurity>0</DocSecurity>
  <Lines>58</Lines>
  <Paragraphs>27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Ambord</dc:creator>
  <cp:keywords/>
  <dc:description/>
  <cp:lastModifiedBy>Teresa Ambord</cp:lastModifiedBy>
  <cp:revision>56</cp:revision>
  <dcterms:created xsi:type="dcterms:W3CDTF">2025-07-08T21:03:00Z</dcterms:created>
  <dcterms:modified xsi:type="dcterms:W3CDTF">2025-07-09T15:16:00Z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GrammarlyDocumentId">
    <vt:lpwstr>d51a33c5-dd4c-4aba-936e-251e98e4c48d</vt:lpwstr>
  </property>
  <property fmtid="{D5CDD505-2E9C-101B-9397-08002B2CF9AE}" pid="4" name="MediaServiceImageTags">
    <vt:lpwstr/>
  </property>
</Properties>
</file>